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5494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</w:p>
    <w:p w14:paraId="15DC63AC" w14:textId="219C64A3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b/>
          <w:bCs/>
          <w:sz w:val="28"/>
          <w:szCs w:val="28"/>
        </w:rPr>
        <w:t>Anija valla 202</w:t>
      </w:r>
      <w:r w:rsidR="002B4C43" w:rsidRPr="00D35C7A">
        <w:rPr>
          <w:b/>
          <w:bCs/>
          <w:sz w:val="28"/>
          <w:szCs w:val="28"/>
        </w:rPr>
        <w:t>6</w:t>
      </w:r>
      <w:r w:rsidRPr="00D35C7A">
        <w:rPr>
          <w:b/>
          <w:bCs/>
          <w:sz w:val="28"/>
          <w:szCs w:val="28"/>
        </w:rPr>
        <w:t xml:space="preserve">. aasta eelarve lühiülevaade </w:t>
      </w:r>
    </w:p>
    <w:p w14:paraId="6A1A20D9" w14:textId="7D55B0DF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Anija valla 202</w:t>
      </w:r>
      <w:r w:rsidR="002B4C43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>. aasta eelarve koostamise aluseks on valla arengukava aastateks 202</w:t>
      </w:r>
      <w:r w:rsidR="002B4C43" w:rsidRPr="00D35C7A">
        <w:rPr>
          <w:sz w:val="28"/>
          <w:szCs w:val="28"/>
        </w:rPr>
        <w:t>4</w:t>
      </w:r>
      <w:r w:rsidRPr="00D35C7A">
        <w:rPr>
          <w:sz w:val="28"/>
          <w:szCs w:val="28"/>
        </w:rPr>
        <w:t xml:space="preserve"> – 20</w:t>
      </w:r>
      <w:r w:rsidR="00DD3C4D" w:rsidRPr="00D35C7A">
        <w:rPr>
          <w:sz w:val="28"/>
          <w:szCs w:val="28"/>
        </w:rPr>
        <w:t>2</w:t>
      </w:r>
      <w:r w:rsidR="002B4C43" w:rsidRPr="00D35C7A">
        <w:rPr>
          <w:sz w:val="28"/>
          <w:szCs w:val="28"/>
        </w:rPr>
        <w:t>9</w:t>
      </w:r>
      <w:r w:rsidRPr="00D35C7A">
        <w:rPr>
          <w:sz w:val="28"/>
          <w:szCs w:val="28"/>
        </w:rPr>
        <w:t xml:space="preserve"> ning sinna juurde kuuluv eelarvestrateegia ja investeeringute kava. Valla arengukava võeti vastu Anija Vallavolikogu poolt </w:t>
      </w:r>
      <w:r w:rsidR="00D35C7A" w:rsidRPr="00D35C7A">
        <w:rPr>
          <w:sz w:val="28"/>
          <w:szCs w:val="28"/>
        </w:rPr>
        <w:t>16.10.2025</w:t>
      </w:r>
      <w:r w:rsidRPr="00D35C7A">
        <w:rPr>
          <w:sz w:val="28"/>
          <w:szCs w:val="28"/>
        </w:rPr>
        <w:t xml:space="preserve">, vt. </w:t>
      </w:r>
      <w:hyperlink r:id="rId5" w:history="1">
        <w:r w:rsidR="00D35C7A" w:rsidRPr="00D35C7A">
          <w:rPr>
            <w:rStyle w:val="Hperlink"/>
            <w:sz w:val="28"/>
            <w:szCs w:val="28"/>
          </w:rPr>
          <w:t>https://www.riigiteataja.ee/akt/422102025028?leiaKehtiv</w:t>
        </w:r>
      </w:hyperlink>
      <w:r w:rsidR="00D35C7A" w:rsidRPr="00D35C7A">
        <w:rPr>
          <w:sz w:val="28"/>
          <w:szCs w:val="28"/>
        </w:rPr>
        <w:t>.</w:t>
      </w:r>
    </w:p>
    <w:p w14:paraId="076B118F" w14:textId="1283D21B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Anija valla 202</w:t>
      </w:r>
      <w:r w:rsidR="00E136D7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>. aasta eelarve võeti vastu vallavolikogu pool</w:t>
      </w:r>
      <w:r w:rsidR="00A44490" w:rsidRPr="00D35C7A">
        <w:rPr>
          <w:sz w:val="28"/>
          <w:szCs w:val="28"/>
        </w:rPr>
        <w:t>t 2</w:t>
      </w:r>
      <w:r w:rsidR="00E136D7" w:rsidRPr="00D35C7A">
        <w:rPr>
          <w:sz w:val="28"/>
          <w:szCs w:val="28"/>
        </w:rPr>
        <w:t>2</w:t>
      </w:r>
      <w:r w:rsidR="00A44490" w:rsidRPr="00D35C7A">
        <w:rPr>
          <w:sz w:val="28"/>
          <w:szCs w:val="28"/>
        </w:rPr>
        <w:t>.01.2</w:t>
      </w:r>
      <w:r w:rsidRPr="00D35C7A">
        <w:rPr>
          <w:sz w:val="28"/>
          <w:szCs w:val="28"/>
        </w:rPr>
        <w:t>02</w:t>
      </w:r>
      <w:r w:rsidR="00E136D7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>, vt.</w:t>
      </w:r>
      <w:r w:rsidR="009027E5" w:rsidRPr="00D35C7A">
        <w:rPr>
          <w:sz w:val="28"/>
          <w:szCs w:val="28"/>
        </w:rPr>
        <w:t xml:space="preserve"> </w:t>
      </w:r>
      <w:hyperlink r:id="rId6" w:history="1">
        <w:r w:rsidR="00D35C7A" w:rsidRPr="00627D04">
          <w:rPr>
            <w:rStyle w:val="Hperlink"/>
            <w:sz w:val="28"/>
            <w:szCs w:val="28"/>
          </w:rPr>
          <w:t>https://www.riigiteataja.ee/akt/429012026015</w:t>
        </w:r>
      </w:hyperlink>
      <w:r w:rsidR="00D35C7A">
        <w:rPr>
          <w:sz w:val="28"/>
          <w:szCs w:val="28"/>
        </w:rPr>
        <w:t xml:space="preserve">. </w:t>
      </w:r>
      <w:r w:rsidRPr="00D35C7A">
        <w:rPr>
          <w:sz w:val="28"/>
          <w:szCs w:val="28"/>
        </w:rPr>
        <w:t>Eelarve seletuskiri vt</w:t>
      </w:r>
      <w:r w:rsidR="009027E5" w:rsidRPr="00D35C7A">
        <w:rPr>
          <w:sz w:val="28"/>
          <w:szCs w:val="28"/>
        </w:rPr>
        <w:t>:</w:t>
      </w:r>
      <w:r w:rsidRPr="00D35C7A">
        <w:rPr>
          <w:sz w:val="28"/>
          <w:szCs w:val="28"/>
        </w:rPr>
        <w:t xml:space="preserve"> </w:t>
      </w:r>
      <w:hyperlink r:id="rId7" w:history="1">
        <w:r w:rsidR="00D35C7A" w:rsidRPr="00627D04">
          <w:rPr>
            <w:rStyle w:val="Hperlink"/>
            <w:sz w:val="28"/>
            <w:szCs w:val="28"/>
          </w:rPr>
          <w:t>https://atp.amphora.ee/anijavv/?o=243&amp;o2=243&amp;u=null&amp;hdr=hp&amp;f=258233&amp;tbs=all&amp;dt=&amp;itm=446017&amp;clr=history&amp;pageSize=20&amp;page=1</w:t>
        </w:r>
      </w:hyperlink>
      <w:r w:rsidR="00D35C7A">
        <w:rPr>
          <w:sz w:val="28"/>
          <w:szCs w:val="28"/>
        </w:rPr>
        <w:t xml:space="preserve">. </w:t>
      </w:r>
    </w:p>
    <w:p w14:paraId="318D3D91" w14:textId="7CE6F4A9" w:rsidR="002B6284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202</w:t>
      </w:r>
      <w:r w:rsidR="00966D8F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 xml:space="preserve">. aasta eelarve on koostatud tekkepõhise arvestuspõhimõtete alusel. </w:t>
      </w:r>
    </w:p>
    <w:p w14:paraId="403F7303" w14:textId="77777777" w:rsidR="00D032D8" w:rsidRPr="00D35C7A" w:rsidRDefault="00D032D8" w:rsidP="00D35C7A">
      <w:pPr>
        <w:pStyle w:val="Default"/>
        <w:jc w:val="both"/>
        <w:rPr>
          <w:sz w:val="28"/>
          <w:szCs w:val="28"/>
        </w:rPr>
      </w:pPr>
    </w:p>
    <w:p w14:paraId="127FBA5F" w14:textId="5D9FA4F2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202</w:t>
      </w:r>
      <w:r w:rsidR="0095419E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 xml:space="preserve">. aastaks on vallal kolm prioriteeti: </w:t>
      </w:r>
    </w:p>
    <w:p w14:paraId="491D880E" w14:textId="77777777" w:rsidR="002B6284" w:rsidRPr="00D35C7A" w:rsidRDefault="002B6284" w:rsidP="00D35C7A">
      <w:pPr>
        <w:pStyle w:val="Default"/>
        <w:numPr>
          <w:ilvl w:val="0"/>
          <w:numId w:val="5"/>
        </w:numPr>
        <w:spacing w:after="97"/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jätkusuutlik eelarvepositsioon – eelarve tulud on kavandatud konservatiivselt ja kulude planeerimisel on järgitud säästvaid- ja kokkuhoiu põhimõtteid; </w:t>
      </w:r>
    </w:p>
    <w:p w14:paraId="0CF96E1C" w14:textId="5E6D112D" w:rsidR="002B6284" w:rsidRPr="00D35C7A" w:rsidRDefault="002B6284" w:rsidP="00D35C7A">
      <w:pPr>
        <w:pStyle w:val="Default"/>
        <w:numPr>
          <w:ilvl w:val="0"/>
          <w:numId w:val="5"/>
        </w:numPr>
        <w:spacing w:after="97"/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Euroopa Liidu ja riiklike toetuste abil investeeringute teostamine – alustatakse ettevalmistustöid eakate teenusmaja rajamiseks; </w:t>
      </w:r>
    </w:p>
    <w:p w14:paraId="5801E6A9" w14:textId="77777777" w:rsidR="002B6284" w:rsidRPr="00D35C7A" w:rsidRDefault="002B6284" w:rsidP="00D35C7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heal tasemel avalike teenuste pakkumine vallakodanikele. </w:t>
      </w:r>
    </w:p>
    <w:p w14:paraId="5BFACDF7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</w:p>
    <w:p w14:paraId="3FBC5E23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b/>
          <w:bCs/>
          <w:sz w:val="28"/>
          <w:szCs w:val="28"/>
        </w:rPr>
        <w:t xml:space="preserve">Põhitegevuse tulud </w:t>
      </w:r>
    </w:p>
    <w:p w14:paraId="387443A6" w14:textId="6975E20C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202</w:t>
      </w:r>
      <w:r w:rsidR="00C942EF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 xml:space="preserve">. aasta eelarves on planeeritud põhitegevuse tuludeks </w:t>
      </w:r>
      <w:r w:rsidR="009E30D2" w:rsidRPr="00D35C7A">
        <w:rPr>
          <w:sz w:val="28"/>
          <w:szCs w:val="28"/>
        </w:rPr>
        <w:t>14,</w:t>
      </w:r>
      <w:r w:rsidR="00C942EF" w:rsidRPr="00D35C7A">
        <w:rPr>
          <w:sz w:val="28"/>
          <w:szCs w:val="28"/>
        </w:rPr>
        <w:t>65</w:t>
      </w:r>
      <w:r w:rsidRPr="00D35C7A">
        <w:rPr>
          <w:sz w:val="28"/>
          <w:szCs w:val="28"/>
        </w:rPr>
        <w:t xml:space="preserve"> miljonit eurot, mis on </w:t>
      </w:r>
      <w:r w:rsidR="009E30D2" w:rsidRPr="00D35C7A">
        <w:rPr>
          <w:sz w:val="28"/>
          <w:szCs w:val="28"/>
        </w:rPr>
        <w:t xml:space="preserve"> 0,</w:t>
      </w:r>
      <w:r w:rsidR="00AA4E02" w:rsidRPr="00D35C7A">
        <w:rPr>
          <w:sz w:val="28"/>
          <w:szCs w:val="28"/>
        </w:rPr>
        <w:t>4</w:t>
      </w:r>
      <w:r w:rsidR="009E30D2" w:rsidRPr="00D35C7A">
        <w:rPr>
          <w:sz w:val="28"/>
          <w:szCs w:val="28"/>
        </w:rPr>
        <w:t xml:space="preserve"> miljonit eurot enam kui 202</w:t>
      </w:r>
      <w:r w:rsidR="00AA4E02" w:rsidRPr="00D35C7A">
        <w:rPr>
          <w:sz w:val="28"/>
          <w:szCs w:val="28"/>
        </w:rPr>
        <w:t>5</w:t>
      </w:r>
      <w:r w:rsidRPr="00D35C7A">
        <w:rPr>
          <w:sz w:val="28"/>
          <w:szCs w:val="28"/>
        </w:rPr>
        <w:t>. aasta eelarve</w:t>
      </w:r>
      <w:r w:rsidR="009E30D2" w:rsidRPr="00D35C7A">
        <w:rPr>
          <w:sz w:val="28"/>
          <w:szCs w:val="28"/>
        </w:rPr>
        <w:t>s</w:t>
      </w:r>
      <w:r w:rsidRPr="00D35C7A">
        <w:rPr>
          <w:sz w:val="28"/>
          <w:szCs w:val="28"/>
        </w:rPr>
        <w:t xml:space="preserve">. Maksutulude tõusuks on planeeritud </w:t>
      </w:r>
      <w:r w:rsidR="00DA0922" w:rsidRPr="00D35C7A">
        <w:rPr>
          <w:sz w:val="28"/>
          <w:szCs w:val="28"/>
        </w:rPr>
        <w:t>4,1</w:t>
      </w:r>
      <w:r w:rsidRPr="00D35C7A">
        <w:rPr>
          <w:sz w:val="28"/>
          <w:szCs w:val="28"/>
        </w:rPr>
        <w:t xml:space="preserve"> %, kaupade ja teenuste müügitulu tõusuks </w:t>
      </w:r>
      <w:r w:rsidR="00DA0922" w:rsidRPr="00D35C7A">
        <w:rPr>
          <w:sz w:val="28"/>
          <w:szCs w:val="28"/>
        </w:rPr>
        <w:t>0,4</w:t>
      </w:r>
      <w:r w:rsidRPr="00D35C7A">
        <w:rPr>
          <w:sz w:val="28"/>
          <w:szCs w:val="28"/>
        </w:rPr>
        <w:t xml:space="preserve"> % ning riigieelarvest eraldatav toetus </w:t>
      </w:r>
      <w:r w:rsidR="00984763" w:rsidRPr="00D35C7A">
        <w:rPr>
          <w:sz w:val="28"/>
          <w:szCs w:val="28"/>
        </w:rPr>
        <w:t>suureneb</w:t>
      </w:r>
      <w:r w:rsidRPr="00D35C7A">
        <w:rPr>
          <w:sz w:val="28"/>
          <w:szCs w:val="28"/>
        </w:rPr>
        <w:t xml:space="preserve"> </w:t>
      </w:r>
      <w:r w:rsidR="006A2D34" w:rsidRPr="00D35C7A">
        <w:rPr>
          <w:sz w:val="28"/>
          <w:szCs w:val="28"/>
        </w:rPr>
        <w:t>1,6</w:t>
      </w:r>
      <w:r w:rsidRPr="00D35C7A">
        <w:rPr>
          <w:sz w:val="28"/>
          <w:szCs w:val="28"/>
        </w:rPr>
        <w:t xml:space="preserve"> % võrreldes varasema aasta eelarvestatud summadega. </w:t>
      </w:r>
    </w:p>
    <w:p w14:paraId="5F541676" w14:textId="2FBFAD04" w:rsidR="002B6284" w:rsidRPr="00D35C7A" w:rsidRDefault="002B6284" w:rsidP="00D35C7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Maksutuludeks on arvestatud tulud üksikisiku tulumaksust </w:t>
      </w:r>
      <w:r w:rsidR="00531EB8" w:rsidRPr="00D35C7A">
        <w:rPr>
          <w:sz w:val="28"/>
          <w:szCs w:val="28"/>
        </w:rPr>
        <w:t>8,</w:t>
      </w:r>
      <w:r w:rsidR="00EE064B" w:rsidRPr="00D35C7A">
        <w:rPr>
          <w:sz w:val="28"/>
          <w:szCs w:val="28"/>
        </w:rPr>
        <w:t>9</w:t>
      </w:r>
      <w:r w:rsidRPr="00D35C7A">
        <w:rPr>
          <w:sz w:val="28"/>
          <w:szCs w:val="28"/>
        </w:rPr>
        <w:t xml:space="preserve"> miljonit eurot ja tulud maamaksust 0,</w:t>
      </w:r>
      <w:r w:rsidR="00531EB8" w:rsidRPr="00D35C7A">
        <w:rPr>
          <w:sz w:val="28"/>
          <w:szCs w:val="28"/>
        </w:rPr>
        <w:t>3</w:t>
      </w:r>
      <w:r w:rsidRPr="00D35C7A">
        <w:rPr>
          <w:sz w:val="28"/>
          <w:szCs w:val="28"/>
        </w:rPr>
        <w:t xml:space="preserve"> miljonit eurot. Riigieelarvest eraldatava tulumaksu eraldise määra vähendati 0,</w:t>
      </w:r>
      <w:r w:rsidR="00531EB8" w:rsidRPr="00D35C7A">
        <w:rPr>
          <w:sz w:val="28"/>
          <w:szCs w:val="28"/>
        </w:rPr>
        <w:t>6</w:t>
      </w:r>
      <w:r w:rsidR="000C79B8" w:rsidRPr="00D35C7A">
        <w:rPr>
          <w:sz w:val="28"/>
          <w:szCs w:val="28"/>
        </w:rPr>
        <w:t>5</w:t>
      </w:r>
      <w:r w:rsidRPr="00D35C7A">
        <w:rPr>
          <w:sz w:val="28"/>
          <w:szCs w:val="28"/>
        </w:rPr>
        <w:t xml:space="preserve"> %. 202</w:t>
      </w:r>
      <w:r w:rsidR="000C79B8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 xml:space="preserve">. aastal laekub </w:t>
      </w:r>
      <w:proofErr w:type="spellStart"/>
      <w:r w:rsidRPr="00D35C7A">
        <w:rPr>
          <w:sz w:val="28"/>
          <w:szCs w:val="28"/>
        </w:rPr>
        <w:t>KOV-ile</w:t>
      </w:r>
      <w:proofErr w:type="spellEnd"/>
      <w:r w:rsidRPr="00D35C7A">
        <w:rPr>
          <w:sz w:val="28"/>
          <w:szCs w:val="28"/>
        </w:rPr>
        <w:t xml:space="preserve"> valla elanike maksustatavalt brutotulult 1</w:t>
      </w:r>
      <w:r w:rsidR="00AE6DC0" w:rsidRPr="00D35C7A">
        <w:rPr>
          <w:sz w:val="28"/>
          <w:szCs w:val="28"/>
        </w:rPr>
        <w:t>0</w:t>
      </w:r>
      <w:r w:rsidRPr="00D35C7A">
        <w:rPr>
          <w:sz w:val="28"/>
          <w:szCs w:val="28"/>
        </w:rPr>
        <w:t>,</w:t>
      </w:r>
      <w:r w:rsidR="00AE6DC0" w:rsidRPr="00D35C7A">
        <w:rPr>
          <w:sz w:val="28"/>
          <w:szCs w:val="28"/>
        </w:rPr>
        <w:t>64</w:t>
      </w:r>
      <w:r w:rsidRPr="00D35C7A">
        <w:rPr>
          <w:sz w:val="28"/>
          <w:szCs w:val="28"/>
        </w:rPr>
        <w:t xml:space="preserve"> %. Lisaks eraldatakse pensionitulult </w:t>
      </w:r>
      <w:r w:rsidR="00703651" w:rsidRPr="00D35C7A">
        <w:rPr>
          <w:sz w:val="28"/>
          <w:szCs w:val="28"/>
        </w:rPr>
        <w:t>8,5</w:t>
      </w:r>
      <w:r w:rsidR="00531EB8" w:rsidRPr="00D35C7A">
        <w:rPr>
          <w:sz w:val="28"/>
          <w:szCs w:val="28"/>
        </w:rPr>
        <w:t>0</w:t>
      </w:r>
      <w:r w:rsidRPr="00D35C7A">
        <w:rPr>
          <w:sz w:val="28"/>
          <w:szCs w:val="28"/>
        </w:rPr>
        <w:t xml:space="preserve"> % üksikisiku tulumaksu. </w:t>
      </w:r>
    </w:p>
    <w:p w14:paraId="27DFB7B9" w14:textId="3476AEA9" w:rsidR="002B6284" w:rsidRPr="00D35C7A" w:rsidRDefault="002B6284" w:rsidP="00D35C7A">
      <w:pPr>
        <w:pStyle w:val="Default"/>
        <w:numPr>
          <w:ilvl w:val="0"/>
          <w:numId w:val="6"/>
        </w:numPr>
        <w:spacing w:after="97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Kaupade ja teenuste müügist tulud kokku on planeeritud 0,</w:t>
      </w:r>
      <w:r w:rsidR="00657ECD" w:rsidRPr="00D35C7A">
        <w:rPr>
          <w:sz w:val="28"/>
          <w:szCs w:val="28"/>
        </w:rPr>
        <w:t>8</w:t>
      </w:r>
      <w:r w:rsidRPr="00D35C7A">
        <w:rPr>
          <w:sz w:val="28"/>
          <w:szCs w:val="28"/>
        </w:rPr>
        <w:t xml:space="preserve"> miljonit eurot. Siia on arvestatud haridusasutuste tulud, lapsevanemate osalustasud lasteaedades ja toitlustamisest, </w:t>
      </w:r>
      <w:proofErr w:type="spellStart"/>
      <w:r w:rsidRPr="00D35C7A">
        <w:rPr>
          <w:sz w:val="28"/>
          <w:szCs w:val="28"/>
        </w:rPr>
        <w:t>kunstidekooli</w:t>
      </w:r>
      <w:proofErr w:type="spellEnd"/>
      <w:r w:rsidRPr="00D35C7A">
        <w:rPr>
          <w:sz w:val="28"/>
          <w:szCs w:val="28"/>
        </w:rPr>
        <w:t xml:space="preserve"> õppemaksud, rahva- ja kultuurimajade tulud, üüri- ja renditulud ning tulud kommunaalmajanduse tegevusest. </w:t>
      </w:r>
    </w:p>
    <w:p w14:paraId="4C97EC1A" w14:textId="6491892F" w:rsidR="002B6284" w:rsidRPr="00D35C7A" w:rsidRDefault="002B6284" w:rsidP="00D35C7A">
      <w:pPr>
        <w:pStyle w:val="Default"/>
        <w:numPr>
          <w:ilvl w:val="0"/>
          <w:numId w:val="6"/>
        </w:numPr>
        <w:spacing w:after="97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Saadavateks toetusteks on planeeritud tulud kokku 4,</w:t>
      </w:r>
      <w:r w:rsidR="00F64A0C" w:rsidRPr="00D35C7A">
        <w:rPr>
          <w:sz w:val="28"/>
          <w:szCs w:val="28"/>
        </w:rPr>
        <w:t>3</w:t>
      </w:r>
      <w:r w:rsidRPr="00D35C7A">
        <w:rPr>
          <w:sz w:val="28"/>
          <w:szCs w:val="28"/>
        </w:rPr>
        <w:t xml:space="preserve"> miljonit eurot. Siia on arvestatud riigi poolt eraldatavad toetus- ja tasandusfondi summad ja muud sihtfinantseerimise tulud. </w:t>
      </w:r>
    </w:p>
    <w:p w14:paraId="7B498E9D" w14:textId="2FF26248" w:rsidR="002B6284" w:rsidRPr="00D35C7A" w:rsidRDefault="002B6284" w:rsidP="00D35C7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D35C7A">
        <w:rPr>
          <w:sz w:val="28"/>
          <w:szCs w:val="28"/>
        </w:rPr>
        <w:lastRenderedPageBreak/>
        <w:t>Muude tegevustulude summaks on arvestatud kokku 0,</w:t>
      </w:r>
      <w:r w:rsidR="00E96EF4" w:rsidRPr="00D35C7A">
        <w:rPr>
          <w:sz w:val="28"/>
          <w:szCs w:val="28"/>
        </w:rPr>
        <w:t>4</w:t>
      </w:r>
      <w:r w:rsidRPr="00D35C7A">
        <w:rPr>
          <w:sz w:val="28"/>
          <w:szCs w:val="28"/>
        </w:rPr>
        <w:t xml:space="preserve"> miljonit eurot. Siia on arvestatud tulud keskkonnatasudest. </w:t>
      </w:r>
    </w:p>
    <w:p w14:paraId="4FF10FD3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</w:p>
    <w:p w14:paraId="6DF8F5FB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Tulude liikide osakaal kogu põhitegevuse tuludest: </w:t>
      </w:r>
    </w:p>
    <w:p w14:paraId="7FB795DE" w14:textId="47F0D870" w:rsidR="00657ECD" w:rsidRPr="00D35C7A" w:rsidRDefault="00657ECD" w:rsidP="00D35C7A">
      <w:pPr>
        <w:pStyle w:val="Default"/>
        <w:jc w:val="both"/>
        <w:rPr>
          <w:sz w:val="28"/>
          <w:szCs w:val="28"/>
        </w:rPr>
      </w:pPr>
    </w:p>
    <w:p w14:paraId="53D77257" w14:textId="2D60E371" w:rsidR="00657ECD" w:rsidRPr="00D35C7A" w:rsidRDefault="00D901E6" w:rsidP="00D35C7A">
      <w:pPr>
        <w:pStyle w:val="Default"/>
        <w:jc w:val="both"/>
        <w:rPr>
          <w:sz w:val="28"/>
          <w:szCs w:val="28"/>
        </w:rPr>
      </w:pPr>
      <w:r w:rsidRPr="00D35C7A">
        <w:rPr>
          <w:noProof/>
          <w:sz w:val="28"/>
          <w:szCs w:val="28"/>
        </w:rPr>
        <w:drawing>
          <wp:inline distT="0" distB="0" distL="0" distR="0" wp14:anchorId="79023DA4" wp14:editId="2700101D">
            <wp:extent cx="5962650" cy="4267200"/>
            <wp:effectExtent l="0" t="0" r="0" b="0"/>
            <wp:docPr id="19840279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DD26398-EFB2-7108-5853-D3ADBADE81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844BDB" w14:textId="77777777" w:rsidR="00657ECD" w:rsidRPr="00D35C7A" w:rsidRDefault="00657ECD" w:rsidP="00D35C7A">
      <w:pPr>
        <w:pStyle w:val="Default"/>
        <w:jc w:val="both"/>
        <w:rPr>
          <w:sz w:val="28"/>
          <w:szCs w:val="28"/>
        </w:rPr>
      </w:pPr>
    </w:p>
    <w:p w14:paraId="5EF83605" w14:textId="77777777" w:rsidR="00657ECD" w:rsidRPr="00D35C7A" w:rsidRDefault="00657ECD" w:rsidP="00D35C7A">
      <w:pPr>
        <w:pStyle w:val="Default"/>
        <w:jc w:val="both"/>
        <w:rPr>
          <w:sz w:val="28"/>
          <w:szCs w:val="28"/>
        </w:rPr>
      </w:pPr>
    </w:p>
    <w:p w14:paraId="03018058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b/>
          <w:bCs/>
          <w:sz w:val="28"/>
          <w:szCs w:val="28"/>
        </w:rPr>
        <w:t xml:space="preserve">Põhitegevuse kulud </w:t>
      </w:r>
    </w:p>
    <w:p w14:paraId="6BA561A5" w14:textId="10ECE142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202</w:t>
      </w:r>
      <w:r w:rsidR="004613CF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>. aasta eelarves on planeeritud põhitegevuse kulud kokku</w:t>
      </w:r>
      <w:r w:rsidR="00B65A3B" w:rsidRPr="00D35C7A">
        <w:rPr>
          <w:sz w:val="28"/>
          <w:szCs w:val="28"/>
        </w:rPr>
        <w:t xml:space="preserve"> 14</w:t>
      </w:r>
      <w:r w:rsidRPr="00D35C7A">
        <w:rPr>
          <w:sz w:val="28"/>
          <w:szCs w:val="28"/>
        </w:rPr>
        <w:t>,</w:t>
      </w:r>
      <w:r w:rsidR="00B65A3B" w:rsidRPr="00D35C7A">
        <w:rPr>
          <w:sz w:val="28"/>
          <w:szCs w:val="28"/>
        </w:rPr>
        <w:t>5</w:t>
      </w:r>
      <w:r w:rsidRPr="00D35C7A">
        <w:rPr>
          <w:sz w:val="28"/>
          <w:szCs w:val="28"/>
        </w:rPr>
        <w:t xml:space="preserve"> miljonit eurot, mis on </w:t>
      </w:r>
      <w:r w:rsidR="00B65A3B" w:rsidRPr="00D35C7A">
        <w:rPr>
          <w:sz w:val="28"/>
          <w:szCs w:val="28"/>
        </w:rPr>
        <w:t>375</w:t>
      </w:r>
      <w:r w:rsidRPr="00D35C7A">
        <w:rPr>
          <w:sz w:val="28"/>
          <w:szCs w:val="28"/>
        </w:rPr>
        <w:t xml:space="preserve"> tuhat eurot ehk </w:t>
      </w:r>
      <w:r w:rsidR="00D309F6" w:rsidRPr="00D35C7A">
        <w:rPr>
          <w:sz w:val="28"/>
          <w:szCs w:val="28"/>
        </w:rPr>
        <w:t>2</w:t>
      </w:r>
      <w:r w:rsidRPr="00D35C7A">
        <w:rPr>
          <w:sz w:val="28"/>
          <w:szCs w:val="28"/>
        </w:rPr>
        <w:t>,</w:t>
      </w:r>
      <w:r w:rsidR="00D309F6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 xml:space="preserve"> % enam kui 202</w:t>
      </w:r>
      <w:r w:rsidR="00D309F6" w:rsidRPr="00D35C7A">
        <w:rPr>
          <w:sz w:val="28"/>
          <w:szCs w:val="28"/>
        </w:rPr>
        <w:t>5</w:t>
      </w:r>
      <w:r w:rsidRPr="00D35C7A">
        <w:rPr>
          <w:sz w:val="28"/>
          <w:szCs w:val="28"/>
        </w:rPr>
        <w:t xml:space="preserve">. aastal. </w:t>
      </w:r>
    </w:p>
    <w:p w14:paraId="3E15AC6B" w14:textId="77777777" w:rsid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Toetuste maksmiseks on eelarvestatud 1,</w:t>
      </w:r>
      <w:r w:rsidR="000D74FE" w:rsidRPr="00D35C7A">
        <w:rPr>
          <w:sz w:val="28"/>
          <w:szCs w:val="28"/>
        </w:rPr>
        <w:t>3</w:t>
      </w:r>
      <w:r w:rsidRPr="00D35C7A">
        <w:rPr>
          <w:sz w:val="28"/>
          <w:szCs w:val="28"/>
        </w:rPr>
        <w:t xml:space="preserve"> miljonit eurot, millest 0,</w:t>
      </w:r>
      <w:r w:rsidR="00F52D70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 xml:space="preserve"> miljonit e</w:t>
      </w:r>
      <w:r w:rsidR="001E0276" w:rsidRPr="00D35C7A">
        <w:rPr>
          <w:sz w:val="28"/>
          <w:szCs w:val="28"/>
        </w:rPr>
        <w:t>u</w:t>
      </w:r>
      <w:r w:rsidRPr="00D35C7A">
        <w:rPr>
          <w:sz w:val="28"/>
          <w:szCs w:val="28"/>
        </w:rPr>
        <w:t xml:space="preserve">rot füüsilistele isikutele. </w:t>
      </w:r>
    </w:p>
    <w:p w14:paraId="295D1021" w14:textId="777AD3A1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Personalikuludeks on planeeritud </w:t>
      </w:r>
      <w:r w:rsidR="0069311F" w:rsidRPr="00D35C7A">
        <w:rPr>
          <w:sz w:val="28"/>
          <w:szCs w:val="28"/>
        </w:rPr>
        <w:t>9,1</w:t>
      </w:r>
      <w:r w:rsidRPr="00D35C7A">
        <w:rPr>
          <w:sz w:val="28"/>
          <w:szCs w:val="28"/>
        </w:rPr>
        <w:t xml:space="preserve"> miljonit eurot, mis moodustab põhitegevuse tuludest 6</w:t>
      </w:r>
      <w:r w:rsidR="00260BE6" w:rsidRPr="00D35C7A">
        <w:rPr>
          <w:sz w:val="28"/>
          <w:szCs w:val="28"/>
        </w:rPr>
        <w:t>2,0</w:t>
      </w:r>
      <w:r w:rsidRPr="00D35C7A">
        <w:rPr>
          <w:sz w:val="28"/>
          <w:szCs w:val="28"/>
        </w:rPr>
        <w:t xml:space="preserve"> %. Töötasude tõus</w:t>
      </w:r>
      <w:r w:rsidR="00A35FA5" w:rsidRPr="00D35C7A">
        <w:rPr>
          <w:sz w:val="28"/>
          <w:szCs w:val="28"/>
        </w:rPr>
        <w:t>u ei ole</w:t>
      </w:r>
      <w:r w:rsidRPr="00D35C7A">
        <w:rPr>
          <w:sz w:val="28"/>
          <w:szCs w:val="28"/>
        </w:rPr>
        <w:t xml:space="preserve"> kavandatud. Majandamiskulud on kokku </w:t>
      </w:r>
      <w:r w:rsidR="00C7073A" w:rsidRPr="00D35C7A">
        <w:rPr>
          <w:sz w:val="28"/>
          <w:szCs w:val="28"/>
        </w:rPr>
        <w:t>4,</w:t>
      </w:r>
      <w:r w:rsidR="0068159C" w:rsidRPr="00D35C7A">
        <w:rPr>
          <w:sz w:val="28"/>
          <w:szCs w:val="28"/>
        </w:rPr>
        <w:t>0</w:t>
      </w:r>
      <w:r w:rsidRPr="00D35C7A">
        <w:rPr>
          <w:sz w:val="28"/>
          <w:szCs w:val="28"/>
        </w:rPr>
        <w:t xml:space="preserve"> miljonit eurot ja reservfondi on suunatud 0,1 miljonit eurot. </w:t>
      </w:r>
    </w:p>
    <w:p w14:paraId="7240923C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Põhitegevuse kulud on jaotatud viie tegevusvaldkonna vahel: </w:t>
      </w:r>
    </w:p>
    <w:p w14:paraId="451E4D42" w14:textId="77777777" w:rsidR="00D35C7A" w:rsidRDefault="00D35C7A" w:rsidP="00D35C7A">
      <w:pPr>
        <w:pStyle w:val="Default"/>
        <w:numPr>
          <w:ilvl w:val="0"/>
          <w:numId w:val="7"/>
        </w:numPr>
        <w:spacing w:after="9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ü</w:t>
      </w:r>
      <w:r w:rsidR="002B6284" w:rsidRPr="00D35C7A">
        <w:rPr>
          <w:sz w:val="28"/>
          <w:szCs w:val="28"/>
        </w:rPr>
        <w:t>ldvalitsemise</w:t>
      </w:r>
      <w:proofErr w:type="spellEnd"/>
      <w:r w:rsidR="002B6284" w:rsidRPr="00D35C7A">
        <w:rPr>
          <w:sz w:val="28"/>
          <w:szCs w:val="28"/>
        </w:rPr>
        <w:t xml:space="preserve"> kuludeks on planeeritud kokku 0,7 miljonit eurot. Siin kajastatakse volikogu ja vallavalitsuse tegevusega seotud kulud</w:t>
      </w:r>
      <w:r>
        <w:rPr>
          <w:sz w:val="28"/>
          <w:szCs w:val="28"/>
        </w:rPr>
        <w:t>;</w:t>
      </w:r>
    </w:p>
    <w:p w14:paraId="0191787A" w14:textId="45D2C53A" w:rsidR="002B6284" w:rsidRPr="00D35C7A" w:rsidRDefault="00D35C7A" w:rsidP="00D35C7A">
      <w:pPr>
        <w:pStyle w:val="Default"/>
        <w:numPr>
          <w:ilvl w:val="0"/>
          <w:numId w:val="7"/>
        </w:numPr>
        <w:spacing w:after="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k</w:t>
      </w:r>
      <w:r w:rsidR="002B6284" w:rsidRPr="00D35C7A">
        <w:rPr>
          <w:sz w:val="28"/>
          <w:szCs w:val="28"/>
        </w:rPr>
        <w:t>eskkonna- ja majandustegevuse kuludeks on planeeritud 1,</w:t>
      </w:r>
      <w:r w:rsidR="004260A5" w:rsidRPr="00D35C7A">
        <w:rPr>
          <w:sz w:val="28"/>
          <w:szCs w:val="28"/>
        </w:rPr>
        <w:t>7</w:t>
      </w:r>
      <w:r w:rsidR="002B6284" w:rsidRPr="00D35C7A">
        <w:rPr>
          <w:sz w:val="28"/>
          <w:szCs w:val="28"/>
        </w:rPr>
        <w:t xml:space="preserve"> miljonit eurot. Siin kajastatakse teede- ja tänavate korrashoiukulud, tänavavalgustuse jm kommunaalmajanduse ja heakorra kulud</w:t>
      </w:r>
      <w:r>
        <w:rPr>
          <w:sz w:val="28"/>
          <w:szCs w:val="28"/>
        </w:rPr>
        <w:t>;</w:t>
      </w:r>
    </w:p>
    <w:p w14:paraId="44C78C87" w14:textId="48D5E2A4" w:rsidR="002B6284" w:rsidRPr="00D35C7A" w:rsidRDefault="00D35C7A" w:rsidP="00D35C7A">
      <w:pPr>
        <w:pStyle w:val="Default"/>
        <w:numPr>
          <w:ilvl w:val="0"/>
          <w:numId w:val="7"/>
        </w:numPr>
        <w:spacing w:after="97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2B6284" w:rsidRPr="00D35C7A">
        <w:rPr>
          <w:sz w:val="28"/>
          <w:szCs w:val="28"/>
        </w:rPr>
        <w:t>aba aja- ja kultuuri tegevuste kuludeks on planeeritud 1,</w:t>
      </w:r>
      <w:r w:rsidR="00FE1C60" w:rsidRPr="00D35C7A">
        <w:rPr>
          <w:sz w:val="28"/>
          <w:szCs w:val="28"/>
        </w:rPr>
        <w:t>1</w:t>
      </w:r>
      <w:r w:rsidR="002B6284" w:rsidRPr="00D35C7A">
        <w:rPr>
          <w:sz w:val="28"/>
          <w:szCs w:val="28"/>
        </w:rPr>
        <w:t xml:space="preserve"> miljonit eurot. Siin kajastatakse raamatukogude, kultuuri- ja rahvamajade kulud, eraldised vabaühenduste tegevusteks, noortekeskuse- ja noorte huvialategevuse kulud ning kulud sporditegevustele</w:t>
      </w:r>
      <w:r>
        <w:rPr>
          <w:sz w:val="28"/>
          <w:szCs w:val="28"/>
        </w:rPr>
        <w:t>;</w:t>
      </w:r>
    </w:p>
    <w:p w14:paraId="6A244D03" w14:textId="77777777" w:rsidR="00D35C7A" w:rsidRDefault="00D35C7A" w:rsidP="00D35C7A">
      <w:pPr>
        <w:pStyle w:val="Default"/>
        <w:numPr>
          <w:ilvl w:val="0"/>
          <w:numId w:val="7"/>
        </w:numPr>
        <w:spacing w:after="97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2B6284" w:rsidRPr="00D35C7A">
        <w:rPr>
          <w:sz w:val="28"/>
          <w:szCs w:val="28"/>
        </w:rPr>
        <w:t xml:space="preserve">ariduse valdkonna kuludeks on planeeritud </w:t>
      </w:r>
      <w:r w:rsidR="00F6511B" w:rsidRPr="00D35C7A">
        <w:rPr>
          <w:sz w:val="28"/>
          <w:szCs w:val="28"/>
        </w:rPr>
        <w:t>8,</w:t>
      </w:r>
      <w:r w:rsidR="00D612FC" w:rsidRPr="00D35C7A">
        <w:rPr>
          <w:sz w:val="28"/>
          <w:szCs w:val="28"/>
        </w:rPr>
        <w:t>5</w:t>
      </w:r>
      <w:r w:rsidR="002B6284" w:rsidRPr="00D35C7A">
        <w:rPr>
          <w:sz w:val="28"/>
          <w:szCs w:val="28"/>
        </w:rPr>
        <w:t xml:space="preserve"> miljonit eurot. Siin kajastatakse kolme kooli ja nelja lasteaia tegevustega seotud kulud</w:t>
      </w:r>
      <w:r>
        <w:rPr>
          <w:sz w:val="28"/>
          <w:szCs w:val="28"/>
        </w:rPr>
        <w:t>;</w:t>
      </w:r>
    </w:p>
    <w:p w14:paraId="272B201E" w14:textId="0DAB52BF" w:rsidR="002B6284" w:rsidRPr="00D35C7A" w:rsidRDefault="00D35C7A" w:rsidP="00D35C7A">
      <w:pPr>
        <w:pStyle w:val="Default"/>
        <w:numPr>
          <w:ilvl w:val="0"/>
          <w:numId w:val="7"/>
        </w:numPr>
        <w:spacing w:after="97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2B6284" w:rsidRPr="00D35C7A">
        <w:rPr>
          <w:sz w:val="28"/>
          <w:szCs w:val="28"/>
        </w:rPr>
        <w:t>otsiaaltegevuse valdkonna kuludeks on planeeritud 1,</w:t>
      </w:r>
      <w:r w:rsidR="00F6511B" w:rsidRPr="00D35C7A">
        <w:rPr>
          <w:sz w:val="28"/>
          <w:szCs w:val="28"/>
        </w:rPr>
        <w:t>1</w:t>
      </w:r>
      <w:r w:rsidR="002B6284" w:rsidRPr="00D35C7A">
        <w:rPr>
          <w:sz w:val="28"/>
          <w:szCs w:val="28"/>
        </w:rPr>
        <w:t xml:space="preserve"> miljonit eurot. Siin kajastatakse sotsiaalkeskuse kulud, laste-, noorte- ja eakatega seotud tegevuskulud. </w:t>
      </w:r>
    </w:p>
    <w:p w14:paraId="3C7BE721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</w:p>
    <w:p w14:paraId="26D414DF" w14:textId="615AE63B" w:rsidR="00A44490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Valdkonna kulude osakaal kogu põhitegevuse kuludest: </w:t>
      </w:r>
    </w:p>
    <w:p w14:paraId="00E84D69" w14:textId="77777777" w:rsidR="00D032D8" w:rsidRPr="00D35C7A" w:rsidRDefault="00D032D8" w:rsidP="00D35C7A">
      <w:pPr>
        <w:pStyle w:val="Default"/>
        <w:jc w:val="both"/>
        <w:rPr>
          <w:sz w:val="28"/>
          <w:szCs w:val="28"/>
        </w:rPr>
      </w:pPr>
    </w:p>
    <w:p w14:paraId="131091D0" w14:textId="097A3D23" w:rsidR="00A44490" w:rsidRPr="00D35C7A" w:rsidRDefault="00743125" w:rsidP="00D35C7A">
      <w:pPr>
        <w:pStyle w:val="Default"/>
        <w:jc w:val="both"/>
        <w:rPr>
          <w:sz w:val="28"/>
          <w:szCs w:val="28"/>
        </w:rPr>
      </w:pPr>
      <w:r w:rsidRPr="00D35C7A">
        <w:rPr>
          <w:noProof/>
          <w:sz w:val="28"/>
          <w:szCs w:val="28"/>
        </w:rPr>
        <w:drawing>
          <wp:inline distT="0" distB="0" distL="0" distR="0" wp14:anchorId="31880C95" wp14:editId="5ABA4183">
            <wp:extent cx="4572000" cy="3143250"/>
            <wp:effectExtent l="0" t="0" r="0" b="0"/>
            <wp:docPr id="6968970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8E38FA-82AE-48C4-6ADC-B3F701A266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2E2DF6" w14:textId="77777777" w:rsidR="002B6284" w:rsidRPr="00D35C7A" w:rsidRDefault="002B6284" w:rsidP="00D35C7A">
      <w:pPr>
        <w:pStyle w:val="Default"/>
        <w:pageBreakBefore/>
        <w:jc w:val="both"/>
        <w:rPr>
          <w:sz w:val="28"/>
          <w:szCs w:val="28"/>
        </w:rPr>
      </w:pPr>
      <w:r w:rsidRPr="00D35C7A">
        <w:rPr>
          <w:b/>
          <w:bCs/>
          <w:sz w:val="28"/>
          <w:szCs w:val="28"/>
        </w:rPr>
        <w:lastRenderedPageBreak/>
        <w:t xml:space="preserve">Investeerimistegevus </w:t>
      </w:r>
    </w:p>
    <w:p w14:paraId="37A61FCB" w14:textId="0C52709E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202</w:t>
      </w:r>
      <w:r w:rsidR="008124DC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 xml:space="preserve">. aasta eelarves on planeeritud investeeringuteks </w:t>
      </w:r>
      <w:r w:rsidR="008124DC" w:rsidRPr="00D35C7A">
        <w:rPr>
          <w:sz w:val="28"/>
          <w:szCs w:val="28"/>
        </w:rPr>
        <w:t xml:space="preserve">4,5 </w:t>
      </w:r>
      <w:r w:rsidRPr="00D35C7A">
        <w:rPr>
          <w:sz w:val="28"/>
          <w:szCs w:val="28"/>
        </w:rPr>
        <w:t xml:space="preserve">miljonit eurot, millest olulise osa moodustab </w:t>
      </w:r>
      <w:r w:rsidR="005D2736" w:rsidRPr="00D35C7A">
        <w:rPr>
          <w:sz w:val="28"/>
          <w:szCs w:val="28"/>
        </w:rPr>
        <w:t>Kogukonnapõhise toetatud eluaseme rajamine Kehrasse</w:t>
      </w:r>
      <w:r w:rsidRPr="00D35C7A">
        <w:rPr>
          <w:sz w:val="28"/>
          <w:szCs w:val="28"/>
        </w:rPr>
        <w:t>. Põhivara investeeringud objektide viisi on toodud 202</w:t>
      </w:r>
      <w:r w:rsidR="00195472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 xml:space="preserve">. aasta eelarve seletuskirjas lk </w:t>
      </w:r>
      <w:r w:rsidR="00456B2A" w:rsidRPr="00D35C7A">
        <w:rPr>
          <w:sz w:val="28"/>
          <w:szCs w:val="28"/>
        </w:rPr>
        <w:t>19</w:t>
      </w:r>
      <w:r w:rsidR="00D35C7A">
        <w:rPr>
          <w:sz w:val="28"/>
          <w:szCs w:val="28"/>
        </w:rPr>
        <w:t>.</w:t>
      </w:r>
    </w:p>
    <w:p w14:paraId="7B1E7806" w14:textId="0D1EF016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Investeeringute elluviimiseks planeeritakse saada  toetuseid kokku </w:t>
      </w:r>
      <w:r w:rsidR="00E74828" w:rsidRPr="00D35C7A">
        <w:rPr>
          <w:sz w:val="28"/>
          <w:szCs w:val="28"/>
        </w:rPr>
        <w:t>2,8</w:t>
      </w:r>
      <w:r w:rsidRPr="00D35C7A">
        <w:rPr>
          <w:sz w:val="28"/>
          <w:szCs w:val="28"/>
        </w:rPr>
        <w:t xml:space="preserve"> miljonit eurot ja lisaks kavandatakse võtta laenu 1,</w:t>
      </w:r>
      <w:r w:rsidR="00BD1672" w:rsidRPr="00D35C7A">
        <w:rPr>
          <w:sz w:val="28"/>
          <w:szCs w:val="28"/>
        </w:rPr>
        <w:t>8</w:t>
      </w:r>
      <w:r w:rsidRPr="00D35C7A">
        <w:rPr>
          <w:sz w:val="28"/>
          <w:szCs w:val="28"/>
        </w:rPr>
        <w:t xml:space="preserve"> miljonit eurot. </w:t>
      </w:r>
    </w:p>
    <w:p w14:paraId="5AEF70BE" w14:textId="4E27266E" w:rsidR="002B6284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Põhivara müügituluks on planeeritud 0</w:t>
      </w:r>
      <w:r w:rsidR="00350E4B" w:rsidRPr="00D35C7A">
        <w:rPr>
          <w:sz w:val="28"/>
          <w:szCs w:val="28"/>
        </w:rPr>
        <w:t>,7</w:t>
      </w:r>
      <w:r w:rsidRPr="00D35C7A">
        <w:rPr>
          <w:sz w:val="28"/>
          <w:szCs w:val="28"/>
        </w:rPr>
        <w:t xml:space="preserve"> miljonit eurot. Müügiks olevate varade</w:t>
      </w:r>
      <w:r w:rsidR="00D5193D" w:rsidRPr="00D35C7A">
        <w:rPr>
          <w:sz w:val="28"/>
          <w:szCs w:val="28"/>
        </w:rPr>
        <w:t xml:space="preserve"> hulka kuuluvad vallale mittevajalikud korteriomandid ja kinnistud.</w:t>
      </w:r>
      <w:r w:rsidRPr="00D35C7A">
        <w:rPr>
          <w:sz w:val="28"/>
          <w:szCs w:val="28"/>
        </w:rPr>
        <w:t xml:space="preserve"> </w:t>
      </w:r>
    </w:p>
    <w:p w14:paraId="53762F0E" w14:textId="77777777" w:rsidR="00D35C7A" w:rsidRPr="00D35C7A" w:rsidRDefault="00D35C7A" w:rsidP="00D35C7A">
      <w:pPr>
        <w:pStyle w:val="Default"/>
        <w:jc w:val="both"/>
        <w:rPr>
          <w:sz w:val="28"/>
          <w:szCs w:val="28"/>
        </w:rPr>
      </w:pPr>
    </w:p>
    <w:p w14:paraId="2EC51EE3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b/>
          <w:bCs/>
          <w:sz w:val="28"/>
          <w:szCs w:val="28"/>
        </w:rPr>
        <w:t xml:space="preserve">Finantsseis </w:t>
      </w:r>
    </w:p>
    <w:p w14:paraId="7BB687BB" w14:textId="77777777" w:rsid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Laenu- ja pikaajaliste kohustiste jääk 202</w:t>
      </w:r>
      <w:r w:rsidR="00350E4B" w:rsidRPr="00D35C7A">
        <w:rPr>
          <w:sz w:val="28"/>
          <w:szCs w:val="28"/>
        </w:rPr>
        <w:t>6</w:t>
      </w:r>
      <w:r w:rsidRPr="00D35C7A">
        <w:rPr>
          <w:sz w:val="28"/>
          <w:szCs w:val="28"/>
        </w:rPr>
        <w:t xml:space="preserve">. aasta alguseks on </w:t>
      </w:r>
      <w:r w:rsidR="00662C70" w:rsidRPr="00D35C7A">
        <w:rPr>
          <w:sz w:val="28"/>
          <w:szCs w:val="28"/>
        </w:rPr>
        <w:t>5,7</w:t>
      </w:r>
      <w:r w:rsidRPr="00D35C7A">
        <w:rPr>
          <w:sz w:val="28"/>
          <w:szCs w:val="28"/>
        </w:rPr>
        <w:t xml:space="preserve"> miljonit eurot, millest tagasimaksete kogusumma on eelarvestatud 0,</w:t>
      </w:r>
      <w:r w:rsidR="00F52613" w:rsidRPr="00D35C7A">
        <w:rPr>
          <w:sz w:val="28"/>
          <w:szCs w:val="28"/>
        </w:rPr>
        <w:t>8</w:t>
      </w:r>
      <w:r w:rsidRPr="00D35C7A">
        <w:rPr>
          <w:sz w:val="28"/>
          <w:szCs w:val="28"/>
        </w:rPr>
        <w:t xml:space="preserve"> miljonit eurot. Laenude intressikuludeks aastas kokku on 0,3 miljonit eurot. Netovõlakoormus aasta lõpuks on </w:t>
      </w:r>
      <w:r w:rsidR="0002550B" w:rsidRPr="00D35C7A">
        <w:rPr>
          <w:sz w:val="28"/>
          <w:szCs w:val="28"/>
        </w:rPr>
        <w:t>40,3</w:t>
      </w:r>
      <w:r w:rsidRPr="00D35C7A">
        <w:rPr>
          <w:sz w:val="28"/>
          <w:szCs w:val="28"/>
        </w:rPr>
        <w:t xml:space="preserve"> % põhitegevuse tuludest, mis näitab, et võimalused järgneval aastal laenuraha investeeringuteks kaasata on </w:t>
      </w:r>
      <w:r w:rsidR="0002550B" w:rsidRPr="00D35C7A">
        <w:rPr>
          <w:sz w:val="28"/>
          <w:szCs w:val="28"/>
        </w:rPr>
        <w:t>keskpärased</w:t>
      </w:r>
      <w:r w:rsidRPr="00D35C7A">
        <w:rPr>
          <w:sz w:val="28"/>
          <w:szCs w:val="28"/>
        </w:rPr>
        <w:t xml:space="preserve">. </w:t>
      </w:r>
    </w:p>
    <w:p w14:paraId="2D5F65B2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3DC60DD2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7A8D55DB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3FD91F44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6A281862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6B083FC6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6D67DBEE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2B58B6F4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2274CCA0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6885A74F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7745E2D5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7DFB5A4F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427D51D8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57D9C6F3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48C348DA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436091F7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444030F6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266BF634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6A9F1A66" w14:textId="77777777" w:rsidR="00D35C7A" w:rsidRDefault="00D35C7A" w:rsidP="00D35C7A">
      <w:pPr>
        <w:pStyle w:val="Default"/>
        <w:jc w:val="both"/>
        <w:rPr>
          <w:sz w:val="28"/>
          <w:szCs w:val="28"/>
        </w:rPr>
      </w:pPr>
    </w:p>
    <w:p w14:paraId="446D3421" w14:textId="74C4A021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Koostas</w:t>
      </w:r>
      <w:r w:rsidR="00D35C7A">
        <w:rPr>
          <w:sz w:val="28"/>
          <w:szCs w:val="28"/>
        </w:rPr>
        <w:t>:</w:t>
      </w:r>
    </w:p>
    <w:p w14:paraId="2C75A69D" w14:textId="6E03C11C" w:rsidR="002B6284" w:rsidRPr="00D35C7A" w:rsidRDefault="007B2D00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>Andra Aus</w:t>
      </w:r>
      <w:r w:rsidR="002B6284" w:rsidRPr="00D35C7A">
        <w:rPr>
          <w:sz w:val="28"/>
          <w:szCs w:val="28"/>
        </w:rPr>
        <w:t xml:space="preserve"> </w:t>
      </w:r>
    </w:p>
    <w:p w14:paraId="38859998" w14:textId="2B469F05" w:rsidR="002B6284" w:rsidRPr="00D35C7A" w:rsidRDefault="00D35C7A" w:rsidP="00D35C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2B6284" w:rsidRPr="00D35C7A">
        <w:rPr>
          <w:sz w:val="28"/>
          <w:szCs w:val="28"/>
        </w:rPr>
        <w:t xml:space="preserve">inantsjuht </w:t>
      </w:r>
    </w:p>
    <w:p w14:paraId="78623DC6" w14:textId="77777777" w:rsidR="002B6284" w:rsidRPr="00D35C7A" w:rsidRDefault="002B6284" w:rsidP="00D35C7A">
      <w:pPr>
        <w:pStyle w:val="Default"/>
        <w:jc w:val="both"/>
        <w:rPr>
          <w:sz w:val="28"/>
          <w:szCs w:val="28"/>
        </w:rPr>
      </w:pPr>
      <w:r w:rsidRPr="00D35C7A">
        <w:rPr>
          <w:sz w:val="28"/>
          <w:szCs w:val="28"/>
        </w:rPr>
        <w:t xml:space="preserve">Anija Vallavalitsus </w:t>
      </w:r>
    </w:p>
    <w:p w14:paraId="7F78430F" w14:textId="51B70CE7" w:rsidR="004147F4" w:rsidRPr="00D35C7A" w:rsidRDefault="00637A2A" w:rsidP="00D35C7A">
      <w:pPr>
        <w:jc w:val="both"/>
        <w:rPr>
          <w:sz w:val="28"/>
          <w:szCs w:val="28"/>
        </w:rPr>
      </w:pPr>
      <w:r w:rsidRPr="00D35C7A">
        <w:rPr>
          <w:sz w:val="28"/>
          <w:szCs w:val="28"/>
        </w:rPr>
        <w:t>27</w:t>
      </w:r>
      <w:r w:rsidR="002B6284" w:rsidRPr="00D35C7A">
        <w:rPr>
          <w:sz w:val="28"/>
          <w:szCs w:val="28"/>
        </w:rPr>
        <w:t>.</w:t>
      </w:r>
      <w:r w:rsidR="00D35C7A">
        <w:rPr>
          <w:sz w:val="28"/>
          <w:szCs w:val="28"/>
        </w:rPr>
        <w:t xml:space="preserve"> </w:t>
      </w:r>
      <w:r w:rsidRPr="00D35C7A">
        <w:rPr>
          <w:sz w:val="28"/>
          <w:szCs w:val="28"/>
        </w:rPr>
        <w:t>aprill</w:t>
      </w:r>
      <w:r w:rsidR="002B6284" w:rsidRPr="00D35C7A">
        <w:rPr>
          <w:sz w:val="28"/>
          <w:szCs w:val="28"/>
        </w:rPr>
        <w:t xml:space="preserve"> 202</w:t>
      </w:r>
      <w:r w:rsidRPr="00D35C7A">
        <w:rPr>
          <w:sz w:val="28"/>
          <w:szCs w:val="28"/>
        </w:rPr>
        <w:t>6</w:t>
      </w:r>
    </w:p>
    <w:sectPr w:rsidR="004147F4" w:rsidRPr="00D35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5E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B572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4B5C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061C72"/>
    <w:multiLevelType w:val="hybridMultilevel"/>
    <w:tmpl w:val="1556C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12D4D"/>
    <w:multiLevelType w:val="hybridMultilevel"/>
    <w:tmpl w:val="34749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52AD6"/>
    <w:multiLevelType w:val="hybridMultilevel"/>
    <w:tmpl w:val="3766C6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53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1523522">
    <w:abstractNumId w:val="6"/>
  </w:num>
  <w:num w:numId="2" w16cid:durableId="509683300">
    <w:abstractNumId w:val="0"/>
  </w:num>
  <w:num w:numId="3" w16cid:durableId="2143646511">
    <w:abstractNumId w:val="2"/>
  </w:num>
  <w:num w:numId="4" w16cid:durableId="583227704">
    <w:abstractNumId w:val="1"/>
  </w:num>
  <w:num w:numId="5" w16cid:durableId="1029062877">
    <w:abstractNumId w:val="3"/>
  </w:num>
  <w:num w:numId="6" w16cid:durableId="325089927">
    <w:abstractNumId w:val="4"/>
  </w:num>
  <w:num w:numId="7" w16cid:durableId="939028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7"/>
    <w:rsid w:val="0002550B"/>
    <w:rsid w:val="000A7A63"/>
    <w:rsid w:val="000B3D5E"/>
    <w:rsid w:val="000C79B8"/>
    <w:rsid w:val="000D74FE"/>
    <w:rsid w:val="00195472"/>
    <w:rsid w:val="001E0276"/>
    <w:rsid w:val="0020526B"/>
    <w:rsid w:val="00260BE6"/>
    <w:rsid w:val="002B4C43"/>
    <w:rsid w:val="002B6284"/>
    <w:rsid w:val="00350E4B"/>
    <w:rsid w:val="003A7221"/>
    <w:rsid w:val="003D3BC4"/>
    <w:rsid w:val="004147F4"/>
    <w:rsid w:val="004260A5"/>
    <w:rsid w:val="00456B2A"/>
    <w:rsid w:val="004613CF"/>
    <w:rsid w:val="00470EC4"/>
    <w:rsid w:val="00521D58"/>
    <w:rsid w:val="00531EB8"/>
    <w:rsid w:val="005A2596"/>
    <w:rsid w:val="005C40AA"/>
    <w:rsid w:val="005D2736"/>
    <w:rsid w:val="00637A2A"/>
    <w:rsid w:val="00657ECD"/>
    <w:rsid w:val="00662C70"/>
    <w:rsid w:val="0068159C"/>
    <w:rsid w:val="0069311F"/>
    <w:rsid w:val="006A2D34"/>
    <w:rsid w:val="00703651"/>
    <w:rsid w:val="0074256D"/>
    <w:rsid w:val="00743125"/>
    <w:rsid w:val="00747CE9"/>
    <w:rsid w:val="007B2D00"/>
    <w:rsid w:val="008124DC"/>
    <w:rsid w:val="00837D4F"/>
    <w:rsid w:val="00854093"/>
    <w:rsid w:val="00866BF9"/>
    <w:rsid w:val="00883383"/>
    <w:rsid w:val="008A765B"/>
    <w:rsid w:val="009027E5"/>
    <w:rsid w:val="0095419E"/>
    <w:rsid w:val="00966D8F"/>
    <w:rsid w:val="00971B34"/>
    <w:rsid w:val="00984763"/>
    <w:rsid w:val="009D35C4"/>
    <w:rsid w:val="009E30D2"/>
    <w:rsid w:val="009F14AF"/>
    <w:rsid w:val="009F318F"/>
    <w:rsid w:val="00A35347"/>
    <w:rsid w:val="00A35FA5"/>
    <w:rsid w:val="00A44490"/>
    <w:rsid w:val="00A866AA"/>
    <w:rsid w:val="00A96026"/>
    <w:rsid w:val="00AA4E02"/>
    <w:rsid w:val="00AE6A25"/>
    <w:rsid w:val="00AE6DC0"/>
    <w:rsid w:val="00B11117"/>
    <w:rsid w:val="00B65A3B"/>
    <w:rsid w:val="00BC306E"/>
    <w:rsid w:val="00BD1672"/>
    <w:rsid w:val="00C549EF"/>
    <w:rsid w:val="00C7073A"/>
    <w:rsid w:val="00C942EF"/>
    <w:rsid w:val="00D032D8"/>
    <w:rsid w:val="00D309F6"/>
    <w:rsid w:val="00D35C7A"/>
    <w:rsid w:val="00D5193D"/>
    <w:rsid w:val="00D612FC"/>
    <w:rsid w:val="00D901E6"/>
    <w:rsid w:val="00DA0922"/>
    <w:rsid w:val="00DD3C4D"/>
    <w:rsid w:val="00E136D7"/>
    <w:rsid w:val="00E6056F"/>
    <w:rsid w:val="00E74828"/>
    <w:rsid w:val="00E96EF4"/>
    <w:rsid w:val="00EE064B"/>
    <w:rsid w:val="00F02DB8"/>
    <w:rsid w:val="00F52613"/>
    <w:rsid w:val="00F52D70"/>
    <w:rsid w:val="00F64A0C"/>
    <w:rsid w:val="00F6511B"/>
    <w:rsid w:val="00FC2B7E"/>
    <w:rsid w:val="00FE1C60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9B3B"/>
  <w15:chartTrackingRefBased/>
  <w15:docId w15:val="{20446D4F-BACD-4D1F-BF60-D5683A2A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11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11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11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11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11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11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11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11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11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1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11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11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1111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1111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1111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1111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1111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1111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11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1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11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11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11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1111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1111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1111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11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1111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1111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B62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perlink">
    <w:name w:val="Hyperlink"/>
    <w:basedOn w:val="Liguvaikefont"/>
    <w:uiPriority w:val="99"/>
    <w:unhideWhenUsed/>
    <w:rsid w:val="009D35C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D35C4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D35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atp.amphora.ee/anijavv/?o=243&amp;o2=243&amp;u=null&amp;hdr=hp&amp;f=258233&amp;tbs=all&amp;dt=&amp;itm=446017&amp;clr=history&amp;pageSize=20&amp;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4290120260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iigiteataja.ee/akt/422102025028?leiaKehti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DD-4887-8D52-2103B283AD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DD-4887-8D52-2103B283AD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DD-4887-8D52-2103B283AD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DD-4887-8D52-2103B283AD03}"/>
              </c:ext>
            </c:extLst>
          </c:dPt>
          <c:cat>
            <c:strRef>
              <c:f>Sheet3!$A$2:$A$5</c:f>
              <c:strCache>
                <c:ptCount val="4"/>
                <c:pt idx="0">
                  <c:v>Maksutulud 63%</c:v>
                </c:pt>
                <c:pt idx="1">
                  <c:v>Saadavad toetused 29%</c:v>
                </c:pt>
                <c:pt idx="2">
                  <c:v>Tulud kaupade ja teenuste müügist 6%</c:v>
                </c:pt>
                <c:pt idx="3">
                  <c:v>Muud tegevustulud 2%</c:v>
                </c:pt>
              </c:strCache>
            </c:strRef>
          </c:cat>
          <c:val>
            <c:numRef>
              <c:f>Sheet3!$B$2:$B$5</c:f>
              <c:numCache>
                <c:formatCode>General</c:formatCode>
                <c:ptCount val="4"/>
                <c:pt idx="0">
                  <c:v>9202000</c:v>
                </c:pt>
                <c:pt idx="1">
                  <c:v>4252075</c:v>
                </c:pt>
                <c:pt idx="2">
                  <c:v>841116</c:v>
                </c:pt>
                <c:pt idx="3">
                  <c:v>350000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DD-4887-8D52-2103B283AD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1D8-4C44-B8E3-6FA253ECBE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1D8-4C44-B8E3-6FA253ECBE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1D8-4C44-B8E3-6FA253ECBE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1D8-4C44-B8E3-6FA253ECBE3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1D8-4C44-B8E3-6FA253ECBE33}"/>
              </c:ext>
            </c:extLst>
          </c:dPt>
          <c:cat>
            <c:strRef>
              <c:f>Sheet2!$A$2:$A$6</c:f>
              <c:strCache>
                <c:ptCount val="5"/>
                <c:pt idx="0">
                  <c:v>Üldvalitsemine 5%</c:v>
                </c:pt>
                <c:pt idx="1">
                  <c:v>majandus ja keskkond 13%</c:v>
                </c:pt>
                <c:pt idx="2">
                  <c:v>vaba aeg, kultuur, sport 8%</c:v>
                </c:pt>
                <c:pt idx="3">
                  <c:v>haridus 64%</c:v>
                </c:pt>
                <c:pt idx="4">
                  <c:v>Sotsiaalne kaitse 10%</c:v>
                </c:pt>
              </c:strCache>
            </c:strRef>
          </c:cat>
          <c:val>
            <c:numRef>
              <c:f>Sheet2!$B$2:$B$6</c:f>
              <c:numCache>
                <c:formatCode>General</c:formatCode>
                <c:ptCount val="5"/>
                <c:pt idx="0">
                  <c:v>697999</c:v>
                </c:pt>
                <c:pt idx="1">
                  <c:v>1748189</c:v>
                </c:pt>
                <c:pt idx="2">
                  <c:v>1070668</c:v>
                </c:pt>
                <c:pt idx="3">
                  <c:v>8479571</c:v>
                </c:pt>
                <c:pt idx="4">
                  <c:v>1243182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1D8-4C44-B8E3-6FA253ECB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4415</Characters>
  <Application>Microsoft Office Word</Application>
  <DocSecurity>4</DocSecurity>
  <Lines>36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Aus</dc:creator>
  <cp:keywords/>
  <dc:description/>
  <cp:lastModifiedBy>Kristiina Hallik</cp:lastModifiedBy>
  <cp:revision>2</cp:revision>
  <dcterms:created xsi:type="dcterms:W3CDTF">2026-04-28T05:50:00Z</dcterms:created>
  <dcterms:modified xsi:type="dcterms:W3CDTF">2026-04-28T05:50:00Z</dcterms:modified>
</cp:coreProperties>
</file>